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468" w:type="dxa"/>
        <w:tblCellMar>
          <w:left w:w="0" w:type="dxa"/>
          <w:right w:w="0" w:type="dxa"/>
        </w:tblCellMar>
        <w:tblLook w:val="04A0" w:firstRow="1" w:lastRow="0" w:firstColumn="1" w:lastColumn="0" w:noHBand="0" w:noVBand="1"/>
      </w:tblPr>
      <w:tblGrid>
        <w:gridCol w:w="3050"/>
        <w:gridCol w:w="272"/>
        <w:gridCol w:w="5894"/>
      </w:tblGrid>
      <w:tr w:rsidR="000E675A" w:rsidRPr="000E675A" w:rsidTr="000E675A">
        <w:tc>
          <w:tcPr>
            <w:tcW w:w="306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b/>
                <w:bCs/>
                <w:sz w:val="20"/>
                <w:szCs w:val="20"/>
              </w:rPr>
              <w:t> </w:t>
            </w:r>
            <w:r w:rsidRPr="000E675A">
              <w:rPr>
                <w:rFonts w:ascii="Arial" w:eastAsia="Times New Roman" w:hAnsi="Arial" w:cs="Arial"/>
                <w:b/>
                <w:bCs/>
                <w:sz w:val="20"/>
                <w:szCs w:val="20"/>
                <w:lang w:val="nl-NL"/>
              </w:rPr>
              <w:t xml:space="preserve">BỘ TÀI CHÍNH </w:t>
            </w:r>
          </w:p>
        </w:tc>
        <w:tc>
          <w:tcPr>
            <w:tcW w:w="236"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tc>
        <w:tc>
          <w:tcPr>
            <w:tcW w:w="592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CỘNG HOÀ XÃ HỘI CHỦ NGHĨA VIỆT NAM</w:t>
            </w:r>
          </w:p>
        </w:tc>
      </w:tr>
      <w:tr w:rsidR="000E675A" w:rsidRPr="000E675A" w:rsidTr="000E675A">
        <w:tc>
          <w:tcPr>
            <w:tcW w:w="306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tc>
        <w:tc>
          <w:tcPr>
            <w:tcW w:w="236"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tc>
        <w:tc>
          <w:tcPr>
            <w:tcW w:w="592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xml:space="preserve">             Độc lập </w:t>
            </w:r>
            <w:r w:rsidRPr="000E675A">
              <w:rPr>
                <w:rFonts w:ascii="Arial" w:eastAsia="Times New Roman" w:hAnsi="Arial" w:cs="Arial"/>
                <w:sz w:val="20"/>
                <w:szCs w:val="20"/>
                <w:lang w:val="nl-NL"/>
              </w:rPr>
              <w:t>–</w:t>
            </w:r>
            <w:r w:rsidRPr="000E675A">
              <w:rPr>
                <w:rFonts w:ascii="Arial" w:eastAsia="Times New Roman" w:hAnsi="Arial" w:cs="Arial"/>
                <w:b/>
                <w:bCs/>
                <w:sz w:val="20"/>
                <w:szCs w:val="20"/>
                <w:lang w:val="nl-NL"/>
              </w:rPr>
              <w:t xml:space="preserve"> Tự do </w:t>
            </w:r>
            <w:r w:rsidRPr="000E675A">
              <w:rPr>
                <w:rFonts w:ascii="Arial" w:eastAsia="Times New Roman" w:hAnsi="Arial" w:cs="Arial"/>
                <w:sz w:val="20"/>
                <w:szCs w:val="20"/>
                <w:lang w:val="nl-NL"/>
              </w:rPr>
              <w:t>–</w:t>
            </w:r>
            <w:r w:rsidRPr="000E675A">
              <w:rPr>
                <w:rFonts w:ascii="Arial" w:eastAsia="Times New Roman" w:hAnsi="Arial" w:cs="Arial"/>
                <w:b/>
                <w:bCs/>
                <w:sz w:val="20"/>
                <w:szCs w:val="20"/>
                <w:lang w:val="nl-NL"/>
              </w:rPr>
              <w:t xml:space="preserve"> Hạnh phúc</w:t>
            </w:r>
          </w:p>
        </w:tc>
      </w:tr>
      <w:tr w:rsidR="000E675A" w:rsidRPr="000E675A" w:rsidTr="000E675A">
        <w:tc>
          <w:tcPr>
            <w:tcW w:w="306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sz w:val="20"/>
                <w:szCs w:val="20"/>
                <w:lang w:val="nl-NL"/>
              </w:rPr>
              <w:t>Số:</w:t>
            </w:r>
            <w:r w:rsidRPr="000E675A">
              <w:rPr>
                <w:rFonts w:ascii="Arial" w:eastAsia="Times New Roman" w:hAnsi="Arial" w:cs="Arial"/>
                <w:b/>
                <w:bCs/>
                <w:sz w:val="20"/>
                <w:szCs w:val="20"/>
                <w:lang w:val="nl-NL"/>
              </w:rPr>
              <w:t xml:space="preserve"> </w:t>
            </w:r>
            <w:r w:rsidRPr="000E675A">
              <w:rPr>
                <w:rFonts w:ascii="Arial" w:eastAsia="Times New Roman" w:hAnsi="Arial" w:cs="Arial"/>
                <w:sz w:val="20"/>
                <w:szCs w:val="20"/>
                <w:lang w:val="nl-NL"/>
              </w:rPr>
              <w:t>    /2015/TT-BTC</w:t>
            </w:r>
          </w:p>
        </w:tc>
        <w:tc>
          <w:tcPr>
            <w:tcW w:w="236"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tc>
        <w:tc>
          <w:tcPr>
            <w:tcW w:w="592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tc>
      </w:tr>
      <w:tr w:rsidR="000E675A" w:rsidRPr="000E675A" w:rsidTr="000E675A">
        <w:tc>
          <w:tcPr>
            <w:tcW w:w="306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tc>
        <w:tc>
          <w:tcPr>
            <w:tcW w:w="236"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tc>
        <w:tc>
          <w:tcPr>
            <w:tcW w:w="5920" w:type="dxa"/>
            <w:tcMar>
              <w:top w:w="0" w:type="dxa"/>
              <w:left w:w="108" w:type="dxa"/>
              <w:bottom w:w="0" w:type="dxa"/>
              <w:right w:w="108" w:type="dxa"/>
            </w:tcMar>
            <w:hideMark/>
          </w:tcPr>
          <w:p w:rsidR="000E675A" w:rsidRPr="000E675A" w:rsidRDefault="000E675A" w:rsidP="000E675A">
            <w:pPr>
              <w:spacing w:before="100" w:beforeAutospacing="1" w:after="100" w:afterAutospacing="1" w:line="240" w:lineRule="auto"/>
              <w:outlineLvl w:val="6"/>
              <w:rPr>
                <w:rFonts w:ascii="Times New Roman" w:eastAsia="Times New Roman" w:hAnsi="Times New Roman" w:cs="Times New Roman"/>
                <w:sz w:val="24"/>
                <w:szCs w:val="24"/>
              </w:rPr>
            </w:pPr>
            <w:r w:rsidRPr="000E675A">
              <w:rPr>
                <w:rFonts w:ascii="Arial" w:eastAsia="Times New Roman" w:hAnsi="Arial" w:cs="Arial"/>
                <w:sz w:val="20"/>
                <w:szCs w:val="20"/>
                <w:lang w:val="nl-NL"/>
              </w:rPr>
              <w:t>              Hà Nội, ngày     tháng    năm 2015</w:t>
            </w:r>
          </w:p>
        </w:tc>
      </w:tr>
    </w:tbl>
    <w:p w:rsidR="000E675A" w:rsidRPr="000E675A" w:rsidRDefault="000E675A" w:rsidP="000E675A">
      <w:pPr>
        <w:spacing w:before="100" w:beforeAutospacing="1" w:after="100" w:afterAutospacing="1" w:line="240" w:lineRule="auto"/>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p w:rsidR="000E675A" w:rsidRPr="000E675A" w:rsidRDefault="000E675A" w:rsidP="000E675A">
      <w:pPr>
        <w:spacing w:before="100" w:beforeAutospacing="1" w:after="100" w:afterAutospacing="1" w:line="240" w:lineRule="auto"/>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THÔNG TƯ</w:t>
      </w:r>
    </w:p>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xml:space="preserve">Hướng dẫn chế độ thu, nộp và quản lý lệ phí cấp </w:t>
      </w:r>
    </w:p>
    <w:p w:rsidR="000E675A" w:rsidRPr="000E675A" w:rsidRDefault="000E675A" w:rsidP="000E675A">
      <w:pPr>
        <w:spacing w:before="100" w:beforeAutospacing="1" w:after="100" w:afterAutospacing="1" w:line="240" w:lineRule="auto"/>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Giấy phép hoạt động cung ứng dịch vụ trung gian thanh toán</w:t>
      </w:r>
    </w:p>
    <w:p w:rsidR="000E675A" w:rsidRPr="000E675A" w:rsidRDefault="000E675A" w:rsidP="000E675A">
      <w:pPr>
        <w:spacing w:before="100" w:beforeAutospacing="1" w:after="100" w:afterAutospacing="1" w:line="400" w:lineRule="atLeast"/>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xml:space="preserve">            </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Căn cứ Luật Ngân hàng Nhà nước Việt Nam số 46/2010/QH12 ngày 16/6/2010;</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Căn cứ Pháp lệnh Phí và lệ phí số 38/2001/PL-UBTVQH10 ngày 28/8/2001;</w:t>
      </w:r>
    </w:p>
    <w:p w:rsidR="000E675A" w:rsidRPr="000E675A" w:rsidRDefault="000E675A" w:rsidP="000E675A">
      <w:pPr>
        <w:spacing w:before="120" w:after="120" w:line="240" w:lineRule="auto"/>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            Căn cứ Nghị định số 57/2002/NĐ-CP ngày 03/6/2002 và Nghị định số 24/2006/NĐ-CP ngày 06/3/2006 của Chính phủ quy định chi tiết thi hành Pháp lệnh Phí và lệ phí;</w:t>
      </w:r>
    </w:p>
    <w:p w:rsidR="000E675A" w:rsidRPr="000E675A" w:rsidRDefault="000E675A" w:rsidP="000E675A">
      <w:pPr>
        <w:spacing w:before="120" w:after="120" w:line="240" w:lineRule="auto"/>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            Căn cứ Nghị định số 101/2012/NĐ-CP ngày 22/11/2012 của Chính phủ về thanh toán không dùng tiền mặt;</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Căn cứ Nghị định số 215/2013/NĐ-CP ngày 23 tháng 12 năm 2013 của Chính phủ quy định chức năng, nhiệm vụ, quyền hạn và cơ cấu tổ chức của Bộ Tài chính;</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Theo đề nghị của Vụ trưởng Vụ Chính sách Thuế;</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i/>
          <w:iCs/>
          <w:sz w:val="20"/>
          <w:szCs w:val="20"/>
          <w:lang w:val="nl-NL"/>
        </w:rPr>
        <w:t>Bộ trưởng Bộ Tài chính ban hành Thông tư hướng dẫn chế độ thu, nộp và quản lý lệ phí cấp Giấy phép hoạt động cung ứng dịch vụ trung gian thanh toán như sau:</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xml:space="preserve">Điều 1. Đối tượng nộp và cơ quan thu lệ phí </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1. Đối tượng nộp lệ phí</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pt-BR"/>
        </w:rPr>
        <w:t>Tổ chức được cấp Giấy phép hoạt động cung ứng dịch vụ trung gian thanh toán theo quy định của Nghị định số 101/2012/NĐ-CP ngày 22/11/2012 của Chính phủ về thanh toán không dùng tiền mặt phải nộp lệ phí theo hướng dẫn tại Thông tư này.</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2. Cơ quan thu lệ phí</w:t>
      </w:r>
    </w:p>
    <w:p w:rsidR="000E675A" w:rsidRPr="000E675A" w:rsidRDefault="000E675A" w:rsidP="000E675A">
      <w:pPr>
        <w:spacing w:before="120" w:after="100" w:afterAutospacing="1"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Ngân hàng Nhà nước Việt Nam có nhiệm vụ tổ chức thu, nộp và quản lý lệ phí cấp Giấy phép hoạt động cung ứng dịch vụ trung gian thanh toán theo hướng dẫn tại Thông tư này.</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Điều 2. Mức thu lệ phí</w:t>
      </w:r>
    </w:p>
    <w:p w:rsidR="000E675A" w:rsidRPr="000E675A" w:rsidRDefault="000E675A" w:rsidP="000E675A">
      <w:pPr>
        <w:spacing w:before="120" w:after="12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1. Mức thu lệ phí cấp Giấy phép hoạt động cung ứng dịch vụ trung gian thanh toán như sau:</w:t>
      </w:r>
    </w:p>
    <w:p w:rsidR="000E675A" w:rsidRPr="000E675A" w:rsidRDefault="000E675A" w:rsidP="000E675A">
      <w:pPr>
        <w:spacing w:before="120" w:after="100" w:afterAutospacing="1"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Cấp lần đầu: 10.000.000 đồng/01 giấy phép</w:t>
      </w:r>
    </w:p>
    <w:p w:rsidR="000E675A" w:rsidRPr="000E675A" w:rsidRDefault="000E675A" w:rsidP="000E675A">
      <w:pPr>
        <w:spacing w:before="120" w:after="100" w:afterAutospacing="1"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Cấp lại: 5.000.000 đồng/01 giấy phép</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lastRenderedPageBreak/>
        <w:t xml:space="preserve">2. Lệ phí cấp Giấy phép hoạt động cung ứng dịch vụ trung gian thanh toán thu bằng Đồng Việt Nam (VNĐ). </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xml:space="preserve">Điều 3. Tổ chức thu, nộp và quản lý </w:t>
      </w:r>
    </w:p>
    <w:p w:rsidR="000E675A" w:rsidRPr="000E675A" w:rsidRDefault="000E675A" w:rsidP="000E675A">
      <w:pPr>
        <w:spacing w:before="240" w:after="240"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1. Lệ phí cấp Giấy phép hoạt động cung ứng dịch vụ trung gian thanh toán là khoản thu thuộc ngân sách nhà nước.</w:t>
      </w:r>
    </w:p>
    <w:p w:rsidR="000E675A" w:rsidRPr="000E675A" w:rsidRDefault="000E675A" w:rsidP="000E675A">
      <w:pPr>
        <w:spacing w:before="240" w:after="240"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2. Ngân hàng Nhà nước Việt Nam nộp 100% (một trăm phần trăm) tổng số tiền lệ phí thu được vào ngân sách nhà nước theo Mục lục Ngân sách nhà nước hiện hành</w:t>
      </w:r>
      <w:r w:rsidRPr="000E675A">
        <w:rPr>
          <w:rFonts w:ascii="Arial" w:eastAsia="Times New Roman" w:hAnsi="Arial" w:cs="Arial"/>
          <w:spacing w:val="-10"/>
          <w:sz w:val="20"/>
          <w:szCs w:val="20"/>
          <w:lang w:val="nl-NL"/>
        </w:rPr>
        <w:t xml:space="preserve">. </w:t>
      </w:r>
    </w:p>
    <w:p w:rsidR="000E675A" w:rsidRPr="000E675A" w:rsidRDefault="000E675A" w:rsidP="000E675A">
      <w:pPr>
        <w:spacing w:before="120" w:after="240" w:line="240" w:lineRule="auto"/>
        <w:jc w:val="both"/>
        <w:rPr>
          <w:rFonts w:ascii="Times New Roman" w:eastAsia="Times New Roman" w:hAnsi="Times New Roman" w:cs="Times New Roman"/>
          <w:sz w:val="24"/>
          <w:szCs w:val="24"/>
        </w:rPr>
      </w:pPr>
      <w:r w:rsidRPr="000E675A">
        <w:rPr>
          <w:rFonts w:ascii="Arial" w:eastAsia="Times New Roman" w:hAnsi="Arial" w:cs="Arial"/>
          <w:spacing w:val="-10"/>
          <w:sz w:val="20"/>
          <w:szCs w:val="20"/>
          <w:lang w:val="nl-NL"/>
        </w:rPr>
        <w:t xml:space="preserve">                Các khoản chi phí liên quan đến công tác cấp </w:t>
      </w:r>
      <w:r w:rsidRPr="000E675A">
        <w:rPr>
          <w:rFonts w:ascii="Arial" w:eastAsia="Times New Roman" w:hAnsi="Arial" w:cs="Arial"/>
          <w:sz w:val="20"/>
          <w:szCs w:val="20"/>
          <w:lang w:val="nl-NL"/>
        </w:rPr>
        <w:t xml:space="preserve">Giấy phép hoạt động cung ứng dịch vụ trung gian thanh toán </w:t>
      </w:r>
      <w:r w:rsidRPr="000E675A">
        <w:rPr>
          <w:rFonts w:ascii="Arial" w:eastAsia="Times New Roman" w:hAnsi="Arial" w:cs="Arial"/>
          <w:spacing w:val="-10"/>
          <w:sz w:val="20"/>
          <w:szCs w:val="20"/>
          <w:lang w:val="nl-NL"/>
        </w:rPr>
        <w:t>được ngân sách nhà nước cấp theo dự toán được duyệt hàng năm.</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Điều 4: Tổ chức thực hiện</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color w:val="000000"/>
          <w:sz w:val="20"/>
          <w:szCs w:val="20"/>
          <w:lang w:val="nl-NL"/>
        </w:rPr>
        <w:t xml:space="preserve">1. Thông tư này có hiệu lực thi hành kể từ ngày .../.../2015. </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color w:val="000000"/>
          <w:sz w:val="20"/>
          <w:szCs w:val="20"/>
          <w:lang w:val="nl-NL"/>
        </w:rPr>
        <w:t xml:space="preserve">2. Các nội dung khác liên quan đến việc thu, nộp, quản lý, công khai chế độ thu lệ phí không hướng dẫn tại Thông tư này </w:t>
      </w:r>
      <w:r w:rsidRPr="000E675A">
        <w:rPr>
          <w:rFonts w:ascii="Arial" w:eastAsia="Times New Roman" w:hAnsi="Arial" w:cs="Arial"/>
          <w:sz w:val="20"/>
          <w:szCs w:val="20"/>
          <w:lang w:val="nl-NL"/>
        </w:rPr>
        <w:t xml:space="preserve">được thực hiện theo hướng dẫn tại Thông tư số 63/2002/TT-BTC ngày 24/7/2002 và Thông tư số 45/2006/TT-BTC ngày 25/5/2006 sửa đổi, bổ sung Thông tư số 63/2002/TT-BTC ngày 24/7/2002 của Bộ Tài chính hướng dẫn thực hiện các quy định pháp luật về phí và lệ phí; </w:t>
      </w:r>
      <w:r w:rsidRPr="000E675A">
        <w:rPr>
          <w:rFonts w:ascii="Arial" w:eastAsia="Times New Roman" w:hAnsi="Arial" w:cs="Arial"/>
          <w:sz w:val="20"/>
          <w:szCs w:val="20"/>
          <w:lang w:val="it-IT"/>
        </w:rPr>
        <w:t xml:space="preserve">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w:t>
      </w:r>
      <w:r w:rsidRPr="000E675A">
        <w:rPr>
          <w:rFonts w:ascii="Arial" w:eastAsia="Times New Roman" w:hAnsi="Arial" w:cs="Arial"/>
          <w:sz w:val="20"/>
          <w:szCs w:val="20"/>
          <w:lang w:val="nl-NL"/>
        </w:rPr>
        <w:t>và Thông tư số 153/2012/TT-BTC ngày 17/9/2012 của Bộ Tài chính hướng dẫn việc in, phát hành, quản lý và sử dụng các loại chứng từ thu tiền phí, lệ phí thuộc ngân sách nhà nước và các văn bản sửa đổi, bổ sung (nếu có).</w:t>
      </w:r>
    </w:p>
    <w:p w:rsidR="000E675A" w:rsidRPr="000E675A" w:rsidRDefault="000E675A" w:rsidP="000E675A">
      <w:pPr>
        <w:spacing w:before="240" w:after="240" w:line="240" w:lineRule="auto"/>
        <w:ind w:firstLine="720"/>
        <w:jc w:val="both"/>
        <w:rPr>
          <w:rFonts w:ascii="Times New Roman" w:eastAsia="Times New Roman" w:hAnsi="Times New Roman" w:cs="Times New Roman"/>
          <w:sz w:val="24"/>
          <w:szCs w:val="24"/>
        </w:rPr>
      </w:pPr>
      <w:r w:rsidRPr="000E675A">
        <w:rPr>
          <w:rFonts w:ascii="Arial" w:eastAsia="Times New Roman" w:hAnsi="Arial" w:cs="Arial"/>
          <w:color w:val="000000"/>
          <w:sz w:val="20"/>
          <w:szCs w:val="20"/>
          <w:lang w:val="nl-NL"/>
        </w:rPr>
        <w:t>3. Tổ chức, cá nhân thuộc đối tượng nộp lệ phí và các cơ quan liên quan chịu trách nhiệm thi hành Thông tư này. Trong quá trình triển khai thực hiện, nếu có vướng mắc, đề nghị các tổ chức, cá nhân phản ánh kịp thời về Bộ Tài chính để xem xét, hướng dẫn./.</w:t>
      </w:r>
    </w:p>
    <w:tbl>
      <w:tblPr>
        <w:tblW w:w="9360" w:type="dxa"/>
        <w:tblInd w:w="108" w:type="dxa"/>
        <w:tblCellMar>
          <w:left w:w="0" w:type="dxa"/>
          <w:right w:w="0" w:type="dxa"/>
        </w:tblCellMar>
        <w:tblLook w:val="04A0" w:firstRow="1" w:lastRow="0" w:firstColumn="1" w:lastColumn="0" w:noHBand="0" w:noVBand="1"/>
      </w:tblPr>
      <w:tblGrid>
        <w:gridCol w:w="5842"/>
        <w:gridCol w:w="3518"/>
      </w:tblGrid>
      <w:tr w:rsidR="000E675A" w:rsidRPr="000E675A" w:rsidTr="000E675A">
        <w:tc>
          <w:tcPr>
            <w:tcW w:w="5580" w:type="dxa"/>
            <w:tcMar>
              <w:top w:w="0" w:type="dxa"/>
              <w:left w:w="108" w:type="dxa"/>
              <w:bottom w:w="0" w:type="dxa"/>
              <w:right w:w="108" w:type="dxa"/>
            </w:tcMar>
            <w:hideMark/>
          </w:tcPr>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bookmarkStart w:id="0" w:name="_GoBack" w:colFirst="0" w:colLast="0"/>
            <w:r w:rsidRPr="000E675A">
              <w:rPr>
                <w:rFonts w:ascii="Arial" w:eastAsia="Times New Roman" w:hAnsi="Arial" w:cs="Arial"/>
                <w:b/>
                <w:bCs/>
                <w:i/>
                <w:iCs/>
                <w:sz w:val="20"/>
                <w:szCs w:val="20"/>
                <w:lang w:val="nl-NL"/>
              </w:rPr>
              <w:t>Nơi nhận</w:t>
            </w:r>
            <w:r w:rsidRPr="000E675A">
              <w:rPr>
                <w:rFonts w:ascii="Arial" w:eastAsia="Times New Roman" w:hAnsi="Arial" w:cs="Arial"/>
                <w:sz w:val="20"/>
                <w:szCs w:val="20"/>
                <w:lang w:val="nl-NL"/>
              </w:rPr>
              <w:t>:</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Văn phòng Trung ương Đảng;</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Văn phòng Tổng Bí thư;</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Văn phòng Quốc hội;</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Văn phòng Chủ tịch nước;</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Viện Kiểm sát nhân dân tối cao;</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Tòa án nhân dân tối cao;</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Kiểm toán nhà nước;</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Các Bộ, cơ quan ngang Bộ,</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cơ quan thuộc Chính phủ;</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xml:space="preserve">- Văn phòng Ban chỉ đạo Trung ương về phòng, chống tham </w:t>
            </w:r>
            <w:r w:rsidRPr="000E675A">
              <w:rPr>
                <w:rFonts w:ascii="Arial" w:eastAsia="Times New Roman" w:hAnsi="Arial" w:cs="Arial"/>
                <w:sz w:val="20"/>
                <w:szCs w:val="20"/>
                <w:lang w:val="nl-NL"/>
              </w:rPr>
              <w:lastRenderedPageBreak/>
              <w:t>nhũng;</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Cơ quan Trung ương của các đoàn thể;</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Công báo;</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Cục kiểm tra văn bản (Bộ Tư pháp);</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Uỷ ban nhân dân, Sở Tài chính, Cục Thuế, Kho bạc nhà nước các tỉnh, thành phố trực thuộc Trung ương;</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Các đơn vị  thuộc Bộ Tài chính;</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Website Chính phủ;</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Website Bộ Tài chính;</w:t>
            </w:r>
          </w:p>
          <w:p w:rsidR="000E675A" w:rsidRPr="000E675A" w:rsidRDefault="000E675A" w:rsidP="000E675A">
            <w:pPr>
              <w:spacing w:before="100" w:beforeAutospacing="1" w:after="100" w:afterAutospacing="1" w:line="240" w:lineRule="auto"/>
              <w:jc w:val="both"/>
              <w:rPr>
                <w:rFonts w:ascii="Times New Roman" w:eastAsia="Times New Roman" w:hAnsi="Times New Roman" w:cs="Times New Roman"/>
                <w:sz w:val="24"/>
                <w:szCs w:val="24"/>
              </w:rPr>
            </w:pPr>
            <w:r w:rsidRPr="000E675A">
              <w:rPr>
                <w:rFonts w:ascii="Arial" w:eastAsia="Times New Roman" w:hAnsi="Arial" w:cs="Arial"/>
                <w:sz w:val="20"/>
                <w:szCs w:val="20"/>
                <w:lang w:val="nl-NL"/>
              </w:rPr>
              <w:t>- Lưu VT, CST (CST 5).</w:t>
            </w:r>
          </w:p>
        </w:tc>
        <w:tc>
          <w:tcPr>
            <w:tcW w:w="3360" w:type="dxa"/>
            <w:tcMar>
              <w:top w:w="0" w:type="dxa"/>
              <w:left w:w="108" w:type="dxa"/>
              <w:bottom w:w="0" w:type="dxa"/>
              <w:right w:w="108" w:type="dxa"/>
            </w:tcMar>
            <w:hideMark/>
          </w:tcPr>
          <w:p w:rsidR="000E675A" w:rsidRPr="000E675A" w:rsidRDefault="000E675A" w:rsidP="000E675A">
            <w:pPr>
              <w:spacing w:before="100" w:beforeAutospacing="1" w:after="100" w:afterAutospacing="1" w:line="360" w:lineRule="atLeast"/>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lastRenderedPageBreak/>
              <w:t>KT. BỘ TRƯỞNG</w:t>
            </w:r>
          </w:p>
          <w:p w:rsidR="000E675A" w:rsidRPr="000E675A" w:rsidRDefault="000E675A" w:rsidP="000E675A">
            <w:pPr>
              <w:spacing w:before="100" w:beforeAutospacing="1" w:after="100" w:afterAutospacing="1" w:line="360" w:lineRule="atLeast"/>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THỨ TRƯỞNG</w:t>
            </w:r>
          </w:p>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p w:rsidR="000E675A" w:rsidRPr="000E675A" w:rsidRDefault="000E675A" w:rsidP="000E675A">
            <w:pPr>
              <w:spacing w:before="100" w:beforeAutospacing="1" w:after="100" w:afterAutospacing="1" w:line="360" w:lineRule="atLeast"/>
              <w:jc w:val="both"/>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w:t>
            </w:r>
          </w:p>
          <w:p w:rsidR="000E675A" w:rsidRPr="000E675A" w:rsidRDefault="000E675A" w:rsidP="000E675A">
            <w:pPr>
              <w:spacing w:before="100" w:beforeAutospacing="1" w:after="100" w:afterAutospacing="1" w:line="360" w:lineRule="atLeast"/>
              <w:jc w:val="center"/>
              <w:rPr>
                <w:rFonts w:ascii="Times New Roman" w:eastAsia="Times New Roman" w:hAnsi="Times New Roman" w:cs="Times New Roman"/>
                <w:sz w:val="24"/>
                <w:szCs w:val="24"/>
              </w:rPr>
            </w:pPr>
            <w:r w:rsidRPr="000E675A">
              <w:rPr>
                <w:rFonts w:ascii="Arial" w:eastAsia="Times New Roman" w:hAnsi="Arial" w:cs="Arial"/>
                <w:b/>
                <w:bCs/>
                <w:sz w:val="20"/>
                <w:szCs w:val="20"/>
                <w:lang w:val="nl-NL"/>
              </w:rPr>
              <w:t>       Vũ Thị Mai</w:t>
            </w:r>
          </w:p>
        </w:tc>
      </w:tr>
      <w:bookmarkEnd w:id="0"/>
    </w:tbl>
    <w:p w:rsidR="00DA2F15" w:rsidRDefault="00DA2F15"/>
    <w:sectPr w:rsidR="00DA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5A"/>
    <w:rsid w:val="000E675A"/>
    <w:rsid w:val="00DA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9"/>
    <w:qFormat/>
    <w:rsid w:val="000E675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E67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9"/>
    <w:qFormat/>
    <w:rsid w:val="000E675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E67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dc:creator>
  <cp:lastModifiedBy>May1</cp:lastModifiedBy>
  <cp:revision>1</cp:revision>
  <dcterms:created xsi:type="dcterms:W3CDTF">2015-01-20T01:31:00Z</dcterms:created>
  <dcterms:modified xsi:type="dcterms:W3CDTF">2015-01-20T01:32:00Z</dcterms:modified>
</cp:coreProperties>
</file>